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30" w:rsidRPr="00666B30" w:rsidRDefault="00666B30" w:rsidP="00666B30">
      <w:pPr>
        <w:jc w:val="both"/>
        <w:rPr>
          <w:b/>
        </w:rPr>
      </w:pPr>
      <w:r w:rsidRPr="00666B30">
        <w:rPr>
          <w:b/>
        </w:rPr>
        <w:t>Spisak radova</w:t>
      </w:r>
    </w:p>
    <w:tbl>
      <w:tblPr>
        <w:tblStyle w:val="TableGrid"/>
        <w:tblW w:w="0" w:type="auto"/>
        <w:tblLook w:val="04A0"/>
      </w:tblPr>
      <w:tblGrid>
        <w:gridCol w:w="1929"/>
        <w:gridCol w:w="1930"/>
        <w:gridCol w:w="1930"/>
        <w:gridCol w:w="1930"/>
      </w:tblGrid>
      <w:tr w:rsidR="00666B30" w:rsidRPr="00666B30" w:rsidTr="00666B30">
        <w:tc>
          <w:tcPr>
            <w:tcW w:w="1929" w:type="dxa"/>
          </w:tcPr>
          <w:p w:rsidR="00666B30" w:rsidRPr="00666B30" w:rsidRDefault="00666B30" w:rsidP="00666B30">
            <w:pPr>
              <w:jc w:val="both"/>
            </w:pPr>
            <w:r w:rsidRPr="00666B30">
              <w:t>Prezime</w:t>
            </w:r>
          </w:p>
        </w:tc>
        <w:tc>
          <w:tcPr>
            <w:tcW w:w="1930" w:type="dxa"/>
          </w:tcPr>
          <w:p w:rsidR="00666B30" w:rsidRPr="00666B30" w:rsidRDefault="00666B30" w:rsidP="00666B30">
            <w:pPr>
              <w:jc w:val="both"/>
            </w:pPr>
            <w:r w:rsidRPr="00666B30">
              <w:t>Srednje slovo</w:t>
            </w:r>
          </w:p>
        </w:tc>
        <w:tc>
          <w:tcPr>
            <w:tcW w:w="1930" w:type="dxa"/>
          </w:tcPr>
          <w:p w:rsidR="00666B30" w:rsidRPr="00666B30" w:rsidRDefault="00666B30" w:rsidP="00666B30">
            <w:pPr>
              <w:jc w:val="both"/>
            </w:pPr>
            <w:r w:rsidRPr="00666B30">
              <w:t xml:space="preserve">Ime </w:t>
            </w:r>
          </w:p>
        </w:tc>
        <w:tc>
          <w:tcPr>
            <w:tcW w:w="1930" w:type="dxa"/>
          </w:tcPr>
          <w:p w:rsidR="00666B30" w:rsidRPr="00666B30" w:rsidRDefault="00666B30" w:rsidP="00666B30">
            <w:pPr>
              <w:jc w:val="both"/>
            </w:pPr>
            <w:r w:rsidRPr="00666B30">
              <w:t xml:space="preserve">Zvanje </w:t>
            </w:r>
          </w:p>
        </w:tc>
      </w:tr>
      <w:tr w:rsidR="00666B30" w:rsidRPr="00666B30" w:rsidTr="00666B30">
        <w:tc>
          <w:tcPr>
            <w:tcW w:w="1929" w:type="dxa"/>
          </w:tcPr>
          <w:p w:rsidR="00666B30" w:rsidRPr="00666B30" w:rsidRDefault="00666B30" w:rsidP="00666B30">
            <w:pPr>
              <w:jc w:val="both"/>
              <w:rPr>
                <w:b/>
              </w:rPr>
            </w:pPr>
            <w:r w:rsidRPr="00666B30">
              <w:rPr>
                <w:b/>
              </w:rPr>
              <w:t>Nestorović</w:t>
            </w:r>
          </w:p>
        </w:tc>
        <w:tc>
          <w:tcPr>
            <w:tcW w:w="1930" w:type="dxa"/>
          </w:tcPr>
          <w:p w:rsidR="00666B30" w:rsidRPr="00666B30" w:rsidRDefault="00666B30" w:rsidP="00666B30">
            <w:pPr>
              <w:jc w:val="both"/>
              <w:rPr>
                <w:b/>
              </w:rPr>
            </w:pPr>
            <w:r w:rsidRPr="00666B30">
              <w:rPr>
                <w:b/>
              </w:rPr>
              <w:t>Z</w:t>
            </w:r>
          </w:p>
        </w:tc>
        <w:tc>
          <w:tcPr>
            <w:tcW w:w="1930" w:type="dxa"/>
          </w:tcPr>
          <w:p w:rsidR="00666B30" w:rsidRPr="00666B30" w:rsidRDefault="00666B30" w:rsidP="00666B30">
            <w:pPr>
              <w:jc w:val="both"/>
              <w:rPr>
                <w:b/>
              </w:rPr>
            </w:pPr>
            <w:r w:rsidRPr="00666B30">
              <w:rPr>
                <w:b/>
              </w:rPr>
              <w:t>Milica</w:t>
            </w:r>
          </w:p>
        </w:tc>
        <w:tc>
          <w:tcPr>
            <w:tcW w:w="1930" w:type="dxa"/>
          </w:tcPr>
          <w:p w:rsidR="00666B30" w:rsidRPr="00666B30" w:rsidRDefault="00666B30" w:rsidP="00666B30">
            <w:pPr>
              <w:jc w:val="both"/>
              <w:rPr>
                <w:b/>
              </w:rPr>
            </w:pPr>
            <w:r w:rsidRPr="00666B30">
              <w:rPr>
                <w:b/>
              </w:rPr>
              <w:t xml:space="preserve">Docent </w:t>
            </w:r>
          </w:p>
        </w:tc>
      </w:tr>
    </w:tbl>
    <w:p w:rsidR="00172B07" w:rsidRPr="00666B30" w:rsidRDefault="00172B07" w:rsidP="00666B30">
      <w:pPr>
        <w:jc w:val="both"/>
      </w:pPr>
    </w:p>
    <w:tbl>
      <w:tblPr>
        <w:tblStyle w:val="TableGrid"/>
        <w:tblW w:w="0" w:type="auto"/>
        <w:tblLook w:val="04A0"/>
      </w:tblPr>
      <w:tblGrid>
        <w:gridCol w:w="648"/>
        <w:gridCol w:w="7071"/>
      </w:tblGrid>
      <w:tr w:rsidR="00666B30" w:rsidRPr="00666B30" w:rsidTr="00666B30">
        <w:tc>
          <w:tcPr>
            <w:tcW w:w="648" w:type="dxa"/>
          </w:tcPr>
          <w:p w:rsidR="00666B30" w:rsidRPr="00666B30" w:rsidRDefault="00666B30" w:rsidP="00666B3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7071" w:type="dxa"/>
          </w:tcPr>
          <w:p w:rsidR="00666B30" w:rsidRDefault="00666B30" w:rsidP="00666B30">
            <w:pPr>
              <w:jc w:val="both"/>
            </w:pPr>
            <w:bookmarkStart w:id="0" w:name="OLE_LINK2"/>
            <w:r w:rsidRPr="00666B30">
              <w:t xml:space="preserve">Gavrilović, M., Ivanović, I., (2011),  </w:t>
            </w:r>
            <w:r w:rsidRPr="00666B30">
              <w:rPr>
                <w:b/>
              </w:rPr>
              <w:t>(</w:t>
            </w:r>
            <w:r w:rsidRPr="00666B30">
              <w:rPr>
                <w:b/>
                <w:i/>
              </w:rPr>
              <w:t>Ne)Postojanje društvene odgovornosti u privredi Srbije u procesu privatizacije</w:t>
            </w:r>
            <w:r w:rsidRPr="00666B30">
              <w:rPr>
                <w:b/>
              </w:rPr>
              <w:t>,</w:t>
            </w:r>
            <w:r w:rsidRPr="00666B30">
              <w:t xml:space="preserve"> Megatrend revija,Megatrend univerzitet, ISSN 1820-3159, COBISS.SR-ID 116780812, UDK 33, Vol.8(1), Beograd, str.337-350.</w:t>
            </w:r>
          </w:p>
          <w:bookmarkEnd w:id="0"/>
          <w:p w:rsidR="00666B30" w:rsidRPr="00666B30" w:rsidRDefault="00666B30" w:rsidP="00666B30">
            <w:pPr>
              <w:jc w:val="both"/>
            </w:pPr>
          </w:p>
        </w:tc>
      </w:tr>
      <w:tr w:rsidR="00666B30" w:rsidRPr="00666B30" w:rsidTr="00666B30">
        <w:tc>
          <w:tcPr>
            <w:tcW w:w="648" w:type="dxa"/>
          </w:tcPr>
          <w:p w:rsidR="00666B30" w:rsidRPr="00666B30" w:rsidRDefault="00666B30" w:rsidP="00666B3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7071" w:type="dxa"/>
          </w:tcPr>
          <w:p w:rsidR="00666B30" w:rsidRDefault="00666B30" w:rsidP="00666B3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sr-Latn-CS" w:eastAsia="sr-Latn-CS"/>
              </w:rPr>
            </w:pPr>
            <w:r w:rsidRPr="00666B30">
              <w:rPr>
                <w:rFonts w:eastAsia="MinionPro-Semibold"/>
                <w:lang w:val="sr-Latn-CS" w:eastAsia="sr-Latn-CS"/>
              </w:rPr>
              <w:t xml:space="preserve">Gavrilović, M. (2015) </w:t>
            </w:r>
            <w:r w:rsidRPr="00666B30">
              <w:rPr>
                <w:rFonts w:eastAsia="MinionPro-Semibold"/>
                <w:b/>
                <w:i/>
                <w:lang w:val="sr-Latn-CS" w:eastAsia="sr-Latn-CS"/>
              </w:rPr>
              <w:t>DUG</w:t>
            </w:r>
            <w:r>
              <w:rPr>
                <w:rFonts w:eastAsia="MinionPro-Semibold"/>
                <w:b/>
                <w:i/>
                <w:lang w:val="sr-Latn-CS" w:eastAsia="sr-Latn-CS"/>
              </w:rPr>
              <w:t>OTRAJNI PROCES REFORMISANJA EKO</w:t>
            </w:r>
            <w:r w:rsidRPr="00666B30">
              <w:rPr>
                <w:rFonts w:eastAsia="MinionPro-Semibold"/>
                <w:b/>
                <w:i/>
                <w:lang w:val="sr-Latn-CS" w:eastAsia="sr-Latn-CS"/>
              </w:rPr>
              <w:t>NOMIJE REPUBLIK</w:t>
            </w:r>
            <w:r>
              <w:rPr>
                <w:rFonts w:eastAsia="MinionPro-Semibold"/>
                <w:b/>
                <w:i/>
                <w:lang w:val="sr-Latn-CS" w:eastAsia="sr-Latn-CS"/>
              </w:rPr>
              <w:t>E SRBIJE U CILJU POSTIZANJA MAKROEKO</w:t>
            </w:r>
            <w:r w:rsidRPr="00666B30">
              <w:rPr>
                <w:rFonts w:eastAsia="MinionPro-Semibold"/>
                <w:b/>
                <w:i/>
                <w:lang w:val="sr-Latn-CS" w:eastAsia="sr-Latn-CS"/>
              </w:rPr>
              <w:t>NOM</w:t>
            </w:r>
            <w:r>
              <w:rPr>
                <w:rFonts w:eastAsia="MinionPro-Semibold"/>
                <w:b/>
                <w:i/>
                <w:lang w:val="sr-Latn-CS" w:eastAsia="sr-Latn-CS"/>
              </w:rPr>
              <w:t>SKE STABILIZACIJE - od tranzi</w:t>
            </w:r>
            <w:r w:rsidRPr="00666B30">
              <w:rPr>
                <w:rFonts w:eastAsia="MinionPro-Semibold"/>
                <w:b/>
                <w:i/>
                <w:lang w:val="sr-Latn-CS" w:eastAsia="sr-Latn-CS"/>
              </w:rPr>
              <w:t xml:space="preserve">tornih promena do aktivis tičkog pristupa-, </w:t>
            </w:r>
            <w:r w:rsidRPr="00666B30">
              <w:rPr>
                <w:rFonts w:eastAsia="MinionPro-Semibold"/>
                <w:lang w:val="sr-Latn-CS" w:eastAsia="sr-Latn-CS"/>
              </w:rPr>
              <w:t>Megatrend revija</w:t>
            </w:r>
            <w:r w:rsidRPr="00666B30">
              <w:rPr>
                <w:rFonts w:eastAsia="MinionPro-Semibold"/>
                <w:b/>
                <w:i/>
                <w:lang w:val="sr-Latn-CS" w:eastAsia="sr-Latn-CS"/>
              </w:rPr>
              <w:t xml:space="preserve">, </w:t>
            </w:r>
            <w:r w:rsidRPr="00666B30">
              <w:rPr>
                <w:rFonts w:eastAsia="Times New Roman"/>
                <w:lang w:val="sr-Latn-CS" w:eastAsia="sr-Latn-CS"/>
              </w:rPr>
              <w:t xml:space="preserve">Vol. 12, No 2, 2015, UDK 338.24.021.8(497.11), 338.1(497.11),  </w:t>
            </w:r>
            <w:r w:rsidRPr="00666B30">
              <w:rPr>
                <w:rFonts w:eastAsia="MinionPro-Regular"/>
                <w:lang w:val="sr-Latn-CS" w:eastAsia="sr-Latn-CS"/>
              </w:rPr>
              <w:t xml:space="preserve">ISSN 1820-3159, COBISS.SR-ID 116780812, </w:t>
            </w:r>
            <w:r w:rsidRPr="00666B30">
              <w:rPr>
                <w:rFonts w:eastAsia="Times New Roman"/>
                <w:lang w:val="sr-Latn-CS" w:eastAsia="sr-Latn-CS"/>
              </w:rPr>
              <w:t>89-108</w:t>
            </w:r>
          </w:p>
          <w:p w:rsidR="00666B30" w:rsidRPr="00666B30" w:rsidRDefault="00666B30" w:rsidP="00666B3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sr-Latn-CS" w:eastAsia="sr-Latn-CS"/>
              </w:rPr>
            </w:pPr>
          </w:p>
        </w:tc>
      </w:tr>
      <w:tr w:rsidR="00666B30" w:rsidRPr="00666B30" w:rsidTr="00136D3E">
        <w:tc>
          <w:tcPr>
            <w:tcW w:w="648" w:type="dxa"/>
          </w:tcPr>
          <w:p w:rsidR="00666B30" w:rsidRPr="00666B30" w:rsidRDefault="00666B30" w:rsidP="00666B3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7071" w:type="dxa"/>
            <w:vAlign w:val="center"/>
          </w:tcPr>
          <w:p w:rsidR="00666B30" w:rsidRDefault="00666B30" w:rsidP="00666B30">
            <w:pPr>
              <w:jc w:val="both"/>
              <w:rPr>
                <w:lang w:val="sr-Latn-CS"/>
              </w:rPr>
            </w:pPr>
            <w:r w:rsidRPr="00666B30">
              <w:rPr>
                <w:lang w:val="sr-Latn-CS"/>
              </w:rPr>
              <w:t xml:space="preserve">Dragičević R.T., Gavrilović M.,(2013) </w:t>
            </w:r>
            <w:r w:rsidRPr="00666B30">
              <w:rPr>
                <w:b/>
                <w:i/>
                <w:lang w:val="sr-Latn-CS"/>
              </w:rPr>
              <w:t>Economic thought in the capitalist system as a</w:t>
            </w:r>
            <w:r w:rsidRPr="00666B30">
              <w:rPr>
                <w:lang w:val="sr-Latn-CS"/>
              </w:rPr>
              <w:t xml:space="preserve"> </w:t>
            </w:r>
            <w:r w:rsidRPr="00666B30">
              <w:rPr>
                <w:b/>
                <w:i/>
                <w:lang w:val="sr-Latn-CS"/>
              </w:rPr>
              <w:t>determinant os social, economic and technological development</w:t>
            </w:r>
            <w:r w:rsidRPr="00666B30">
              <w:rPr>
                <w:b/>
                <w:lang w:val="sr-Latn-CS"/>
              </w:rPr>
              <w:t>,</w:t>
            </w:r>
            <w:r w:rsidRPr="00666B30">
              <w:rPr>
                <w:lang w:val="sr-Latn-CS"/>
              </w:rPr>
              <w:t xml:space="preserve"> Jurnal for labour and social affairs in Eastern Europe SEER, Quarterly Of The European Trade Union Institute, ISSN 1435-2869, Volume 16, number 4, 481-486</w:t>
            </w:r>
          </w:p>
          <w:p w:rsidR="00666B30" w:rsidRPr="00666B30" w:rsidRDefault="00666B30" w:rsidP="00666B30">
            <w:pPr>
              <w:jc w:val="both"/>
            </w:pPr>
          </w:p>
        </w:tc>
      </w:tr>
      <w:tr w:rsidR="00666B30" w:rsidRPr="00666B30" w:rsidTr="00666B30">
        <w:tc>
          <w:tcPr>
            <w:tcW w:w="648" w:type="dxa"/>
          </w:tcPr>
          <w:p w:rsidR="00666B30" w:rsidRPr="00666B30" w:rsidRDefault="00666B30" w:rsidP="00666B3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7071" w:type="dxa"/>
          </w:tcPr>
          <w:p w:rsidR="00666B30" w:rsidRPr="00666B30" w:rsidRDefault="00666B30" w:rsidP="00666B30">
            <w:pPr>
              <w:jc w:val="both"/>
            </w:pPr>
            <w:r w:rsidRPr="00666B30">
              <w:t>Dragičević, R.,T., Cvetković, B., N., Gavrilović, M.,(2012</w:t>
            </w:r>
            <w:r w:rsidRPr="00666B30">
              <w:rPr>
                <w:b/>
                <w:i/>
              </w:rPr>
              <w:t>), Ekonomski i tehnološki napredak civilizacije - od igre s prirodom do igre sa ljudima</w:t>
            </w:r>
            <w:r w:rsidRPr="00666B30">
              <w:t>, Međunarodna konferencija o društvenom i tehnološkom razvoju – STED 2012, 28-29. septembar, Banja Luka, Republika Srpska, Univerzitet za poslovni inženjering i menadžment – Banja Luka,</w:t>
            </w:r>
            <w:r w:rsidRPr="00666B30">
              <w:rPr>
                <w:b/>
                <w:i/>
              </w:rPr>
              <w:t xml:space="preserve"> </w:t>
            </w:r>
            <w:r w:rsidRPr="00666B30">
              <w:t>UDK  316.4  str. 1 – 21</w:t>
            </w:r>
          </w:p>
          <w:p w:rsidR="00666B30" w:rsidRPr="00666B30" w:rsidRDefault="00666B30" w:rsidP="00666B30">
            <w:pPr>
              <w:jc w:val="both"/>
            </w:pPr>
          </w:p>
        </w:tc>
      </w:tr>
      <w:tr w:rsidR="00666B30" w:rsidRPr="00666B30" w:rsidTr="00666B30">
        <w:tc>
          <w:tcPr>
            <w:tcW w:w="648" w:type="dxa"/>
          </w:tcPr>
          <w:p w:rsidR="00666B30" w:rsidRPr="00666B30" w:rsidRDefault="00666B30" w:rsidP="00666B3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7071" w:type="dxa"/>
          </w:tcPr>
          <w:p w:rsidR="00666B30" w:rsidRDefault="00F76925" w:rsidP="00666B30">
            <w:pPr>
              <w:suppressAutoHyphens/>
              <w:jc w:val="both"/>
              <w:rPr>
                <w:lang w:val="sr-Latn-CS"/>
              </w:rPr>
            </w:pPr>
            <w:r w:rsidRPr="00666B30">
              <w:rPr>
                <w:lang w:val="sr-Latn-CS"/>
              </w:rPr>
              <w:t>Dragičević Radičević T., Gavrilović M.</w:t>
            </w:r>
            <w:r>
              <w:rPr>
                <w:lang w:val="sr-Latn-CS"/>
              </w:rPr>
              <w:t xml:space="preserve">(2013) </w:t>
            </w:r>
            <w:r w:rsidR="00666B30" w:rsidRPr="00666B30">
              <w:rPr>
                <w:b/>
                <w:i/>
                <w:lang w:val="sr-Latn-CS"/>
              </w:rPr>
              <w:t>Corporate economy – agnosticism materialized in the class distinctions</w:t>
            </w:r>
            <w:r w:rsidR="00F22213">
              <w:rPr>
                <w:lang w:val="sr-Latn-CS"/>
              </w:rPr>
              <w:t>,</w:t>
            </w:r>
            <w:r w:rsidR="00666B30" w:rsidRPr="00666B30">
              <w:rPr>
                <w:lang w:val="sr-Latn-CS"/>
              </w:rPr>
              <w:t xml:space="preserve"> The 5th International Scietific Conference „Moral effect of economy and Economic effect of morality“, Higher </w:t>
            </w:r>
            <w:r w:rsidR="00666B30" w:rsidRPr="00666B30">
              <w:t>Е</w:t>
            </w:r>
            <w:r w:rsidR="00666B30" w:rsidRPr="00666B30">
              <w:rPr>
                <w:lang w:val="sr-Latn-CS"/>
              </w:rPr>
              <w:t xml:space="preserve">ducational </w:t>
            </w:r>
            <w:r w:rsidR="00666B30" w:rsidRPr="00666B30">
              <w:t>I</w:t>
            </w:r>
            <w:r w:rsidR="00666B30" w:rsidRPr="00666B30">
              <w:rPr>
                <w:lang w:val="sr-Latn-CS"/>
              </w:rPr>
              <w:t xml:space="preserve">nstitution for </w:t>
            </w:r>
            <w:r w:rsidR="00666B30" w:rsidRPr="00666B30">
              <w:t>А</w:t>
            </w:r>
            <w:r w:rsidR="00666B30" w:rsidRPr="00666B30">
              <w:rPr>
                <w:lang w:val="sr-Latn-CS"/>
              </w:rPr>
              <w:t xml:space="preserve">pplied studies of </w:t>
            </w:r>
            <w:r w:rsidR="00666B30" w:rsidRPr="00666B30">
              <w:t>Е</w:t>
            </w:r>
            <w:r w:rsidR="00666B30" w:rsidRPr="00666B30">
              <w:rPr>
                <w:lang w:val="sr-Latn-CS"/>
              </w:rPr>
              <w:t>ntrepreneurship Belgrade, Cenre for industrial relations Belgrade, Institute for economical agriculture Belgrade, june 2013, ISBN 978-86-86707-58-1, COBISS.SR-ID 199022348</w:t>
            </w:r>
            <w:r w:rsidR="00666B30">
              <w:rPr>
                <w:lang w:val="sr-Latn-CS"/>
              </w:rPr>
              <w:t xml:space="preserve">, </w:t>
            </w:r>
            <w:r w:rsidR="00666B30" w:rsidRPr="00666B30">
              <w:rPr>
                <w:lang w:val="sr-Latn-CS"/>
              </w:rPr>
              <w:t xml:space="preserve">str.83-91 </w:t>
            </w:r>
          </w:p>
          <w:p w:rsidR="00666B30" w:rsidRPr="00666B30" w:rsidRDefault="00666B30" w:rsidP="00666B30">
            <w:pPr>
              <w:suppressAutoHyphens/>
              <w:jc w:val="both"/>
              <w:rPr>
                <w:b/>
                <w:i/>
              </w:rPr>
            </w:pPr>
          </w:p>
        </w:tc>
      </w:tr>
      <w:tr w:rsidR="00666B30" w:rsidRPr="00666B30" w:rsidTr="00666B30">
        <w:tc>
          <w:tcPr>
            <w:tcW w:w="648" w:type="dxa"/>
          </w:tcPr>
          <w:p w:rsidR="00666B30" w:rsidRPr="00666B30" w:rsidRDefault="00666B30" w:rsidP="00666B3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7071" w:type="dxa"/>
          </w:tcPr>
          <w:p w:rsidR="00666B30" w:rsidRDefault="00666B30" w:rsidP="00666B30">
            <w:pPr>
              <w:suppressAutoHyphens/>
              <w:jc w:val="both"/>
              <w:rPr>
                <w:lang w:val="sr-Latn-CS"/>
              </w:rPr>
            </w:pPr>
            <w:r w:rsidRPr="00666B30">
              <w:rPr>
                <w:lang w:val="sr-Latn-CS"/>
              </w:rPr>
              <w:t xml:space="preserve">Gavrilović M., </w:t>
            </w:r>
            <w:r w:rsidRPr="00666B30">
              <w:rPr>
                <w:b/>
                <w:i/>
              </w:rPr>
              <w:t>The necessity of redefining the strategy of the monetary and fiscal policy in the Republic of Serbia</w:t>
            </w:r>
            <w:r w:rsidRPr="00666B30">
              <w:rPr>
                <w:lang w:val="sr-Latn-CS"/>
              </w:rPr>
              <w:t xml:space="preserve">, The 6th International Scietific Conference „Economy and politics“, Higher </w:t>
            </w:r>
            <w:r w:rsidRPr="00666B30">
              <w:lastRenderedPageBreak/>
              <w:t>Е</w:t>
            </w:r>
            <w:r w:rsidRPr="00666B30">
              <w:rPr>
                <w:lang w:val="sr-Latn-CS"/>
              </w:rPr>
              <w:t xml:space="preserve">ducational </w:t>
            </w:r>
            <w:r w:rsidRPr="00666B30">
              <w:t>I</w:t>
            </w:r>
            <w:r w:rsidRPr="00666B30">
              <w:rPr>
                <w:lang w:val="sr-Latn-CS"/>
              </w:rPr>
              <w:t xml:space="preserve">nstitution for </w:t>
            </w:r>
            <w:r w:rsidRPr="00666B30">
              <w:t>А</w:t>
            </w:r>
            <w:r w:rsidRPr="00666B30">
              <w:rPr>
                <w:lang w:val="sr-Latn-CS"/>
              </w:rPr>
              <w:t xml:space="preserve">pplied studies of </w:t>
            </w:r>
            <w:r w:rsidRPr="00666B30">
              <w:t>Е</w:t>
            </w:r>
            <w:r w:rsidRPr="00666B30">
              <w:rPr>
                <w:lang w:val="sr-Latn-CS"/>
              </w:rPr>
              <w:t>ntrepreneurship Belgrade, Centre for industrial relations Belgrade, Institute for economical agriculture Belgrade, june 2014, ISBN 978-86-86707-60-4, COBISS.SR-ID 207731468, 337-348</w:t>
            </w:r>
          </w:p>
          <w:p w:rsidR="00666B30" w:rsidRPr="00666B30" w:rsidRDefault="00666B30" w:rsidP="00666B30">
            <w:pPr>
              <w:suppressAutoHyphens/>
              <w:jc w:val="both"/>
              <w:rPr>
                <w:b/>
                <w:i/>
                <w:lang w:val="sr-Latn-CS"/>
              </w:rPr>
            </w:pPr>
          </w:p>
        </w:tc>
      </w:tr>
      <w:tr w:rsidR="00666B30" w:rsidRPr="00666B30" w:rsidTr="00666B30">
        <w:tc>
          <w:tcPr>
            <w:tcW w:w="648" w:type="dxa"/>
          </w:tcPr>
          <w:p w:rsidR="00666B30" w:rsidRPr="00666B30" w:rsidRDefault="00666B30" w:rsidP="00666B3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7071" w:type="dxa"/>
          </w:tcPr>
          <w:p w:rsidR="00666B30" w:rsidRDefault="00666B30" w:rsidP="00666B30">
            <w:pPr>
              <w:suppressAutoHyphens/>
              <w:jc w:val="both"/>
              <w:rPr>
                <w:lang w:val="sr-Latn-CS"/>
              </w:rPr>
            </w:pPr>
            <w:r w:rsidRPr="00666B30">
              <w:rPr>
                <w:lang w:val="sr-Latn-CS"/>
              </w:rPr>
              <w:t xml:space="preserve">Ljubic M.,Dedjanski S., Gavrilović M., </w:t>
            </w:r>
            <w:r w:rsidRPr="00666B30">
              <w:rPr>
                <w:b/>
                <w:i/>
                <w:lang w:val="sr-Latn-CS"/>
              </w:rPr>
              <w:t>Finance system local govrenments</w:t>
            </w:r>
            <w:r w:rsidRPr="00666B30">
              <w:rPr>
                <w:lang w:val="sr-Latn-CS"/>
              </w:rPr>
              <w:t>, First International Scientific Cinference: Social change in the global world, Center for Legal and Political Reasearch, Faculty of Low, Goce Delcev University in Shtip, Repablic of Macedonia, shtip 2014, ISBN 978-608-244-129-0, COBISS.MK-ID 97561098, 1041-1049</w:t>
            </w:r>
          </w:p>
          <w:p w:rsidR="00666B30" w:rsidRPr="00666B30" w:rsidRDefault="00666B30" w:rsidP="00666B30">
            <w:pPr>
              <w:suppressAutoHyphens/>
              <w:jc w:val="both"/>
              <w:rPr>
                <w:lang w:val="sr-Latn-CS"/>
              </w:rPr>
            </w:pPr>
          </w:p>
        </w:tc>
      </w:tr>
      <w:tr w:rsidR="00666B30" w:rsidRPr="00666B30" w:rsidTr="00666B30">
        <w:tc>
          <w:tcPr>
            <w:tcW w:w="648" w:type="dxa"/>
          </w:tcPr>
          <w:p w:rsidR="00666B30" w:rsidRPr="00666B30" w:rsidRDefault="00666B30" w:rsidP="00666B3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7071" w:type="dxa"/>
          </w:tcPr>
          <w:p w:rsidR="00666B30" w:rsidRDefault="00666B30" w:rsidP="00666B30">
            <w:pPr>
              <w:pStyle w:val="Default"/>
              <w:jc w:val="both"/>
            </w:pPr>
            <w:r w:rsidRPr="00666B30">
              <w:t xml:space="preserve">Miletic, V.,  Gavrilovic, M.  Milosavljevic, D. (2015) </w:t>
            </w:r>
            <w:r w:rsidRPr="00666B30">
              <w:rPr>
                <w:b/>
                <w:i/>
              </w:rPr>
              <w:t>CURRENT ISSUES OF LOCAL SELF-GOVERNMENT FINANCING IN THE REPUBLIC OF SERBIA IN THE PROCESS OF DECENTRALIZATION</w:t>
            </w:r>
            <w:r w:rsidRPr="00666B30">
              <w:rPr>
                <w:i/>
              </w:rPr>
              <w:t xml:space="preserve">,  </w:t>
            </w:r>
            <w:r w:rsidRPr="00666B30">
              <w:t>5th Eastern European Economic and Social Development Conference on Social Responsibility Belgrade, 21-22. May 2015, ISSN 1849-6903, 53-62</w:t>
            </w:r>
          </w:p>
          <w:p w:rsidR="00666B30" w:rsidRPr="00666B30" w:rsidRDefault="00666B30" w:rsidP="00666B30">
            <w:pPr>
              <w:pStyle w:val="Default"/>
              <w:jc w:val="both"/>
            </w:pPr>
          </w:p>
        </w:tc>
      </w:tr>
      <w:tr w:rsidR="00666B30" w:rsidRPr="00666B30" w:rsidTr="00666B30">
        <w:tc>
          <w:tcPr>
            <w:tcW w:w="648" w:type="dxa"/>
          </w:tcPr>
          <w:p w:rsidR="00666B30" w:rsidRPr="00666B30" w:rsidRDefault="00666B30" w:rsidP="00666B3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7071" w:type="dxa"/>
          </w:tcPr>
          <w:p w:rsidR="00666B30" w:rsidRDefault="00666B30" w:rsidP="00666B30">
            <w:pPr>
              <w:pStyle w:val="Default"/>
              <w:jc w:val="both"/>
            </w:pPr>
            <w:r w:rsidRPr="00666B30">
              <w:t xml:space="preserve">Gavrilović, M. (2014) </w:t>
            </w:r>
            <w:r w:rsidRPr="00666B30">
              <w:rPr>
                <w:b/>
                <w:i/>
              </w:rPr>
              <w:t>Odnos monetarne i fiskalne politike u ekonomskoj politici,</w:t>
            </w:r>
            <w:r w:rsidRPr="00666B30">
              <w:t xml:space="preserve"> doktorska disertacija, Megatrend univerzitet, Beograd</w:t>
            </w:r>
          </w:p>
          <w:p w:rsidR="00666B30" w:rsidRPr="00666B30" w:rsidRDefault="00666B30" w:rsidP="00666B30">
            <w:pPr>
              <w:pStyle w:val="Default"/>
              <w:jc w:val="both"/>
            </w:pPr>
          </w:p>
        </w:tc>
      </w:tr>
      <w:tr w:rsidR="00666B30" w:rsidRPr="00666B30" w:rsidTr="00666B30">
        <w:tc>
          <w:tcPr>
            <w:tcW w:w="648" w:type="dxa"/>
          </w:tcPr>
          <w:p w:rsidR="00666B30" w:rsidRPr="00666B30" w:rsidRDefault="00666B30" w:rsidP="00666B3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7071" w:type="dxa"/>
          </w:tcPr>
          <w:p w:rsidR="00666B30" w:rsidRDefault="00666B30" w:rsidP="00666B30">
            <w:pPr>
              <w:pStyle w:val="Default"/>
              <w:jc w:val="both"/>
            </w:pPr>
            <w:r w:rsidRPr="00666B30">
              <w:t xml:space="preserve">Gavrilović, M.(2009) </w:t>
            </w:r>
            <w:r w:rsidRPr="00666B30">
              <w:rPr>
                <w:b/>
                <w:i/>
              </w:rPr>
              <w:t>Uticaj  globalizacije  na  tržišne  reforme  privrede  Srbije</w:t>
            </w:r>
            <w:r w:rsidRPr="00666B30">
              <w:t>, master rad, Megatrend univerzitet, Beograd</w:t>
            </w:r>
          </w:p>
          <w:p w:rsidR="00666B30" w:rsidRPr="00666B30" w:rsidRDefault="00666B30" w:rsidP="00666B30">
            <w:pPr>
              <w:pStyle w:val="Default"/>
              <w:jc w:val="both"/>
            </w:pPr>
          </w:p>
        </w:tc>
      </w:tr>
      <w:tr w:rsidR="00666B30" w:rsidRPr="00666B30" w:rsidTr="00666B30">
        <w:tc>
          <w:tcPr>
            <w:tcW w:w="648" w:type="dxa"/>
          </w:tcPr>
          <w:p w:rsidR="00666B30" w:rsidRPr="00666B30" w:rsidRDefault="00666B30" w:rsidP="00666B3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7071" w:type="dxa"/>
          </w:tcPr>
          <w:p w:rsidR="00666B30" w:rsidRDefault="00666B30" w:rsidP="00666B30">
            <w:pPr>
              <w:pStyle w:val="Default"/>
              <w:jc w:val="both"/>
            </w:pPr>
            <w:r w:rsidRPr="00666B30">
              <w:t xml:space="preserve">Kapor, P., Nestorović, M., Gobeljic, Z. (2015) </w:t>
            </w:r>
            <w:r w:rsidRPr="00666B30">
              <w:rPr>
                <w:b/>
                <w:i/>
              </w:rPr>
              <w:t>Finansijski menadžment u kulturi i medijima</w:t>
            </w:r>
            <w:r w:rsidRPr="00666B30">
              <w:t>, udžbenik, Čigoja štampa, Beograd</w:t>
            </w:r>
          </w:p>
          <w:p w:rsidR="00666B30" w:rsidRPr="00666B30" w:rsidRDefault="00666B30" w:rsidP="00666B30">
            <w:pPr>
              <w:pStyle w:val="Default"/>
              <w:jc w:val="both"/>
            </w:pPr>
          </w:p>
        </w:tc>
      </w:tr>
    </w:tbl>
    <w:p w:rsidR="00666B30" w:rsidRPr="00666B30" w:rsidRDefault="00666B30" w:rsidP="00666B30">
      <w:pPr>
        <w:jc w:val="both"/>
      </w:pPr>
    </w:p>
    <w:sectPr w:rsidR="00666B30" w:rsidRPr="00666B30" w:rsidSect="00514A49">
      <w:pgSz w:w="10325" w:h="14573" w:code="13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Semibold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Regular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2D8E"/>
    <w:multiLevelType w:val="hybridMultilevel"/>
    <w:tmpl w:val="56D0E87E"/>
    <w:lvl w:ilvl="0" w:tplc="F08A6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66B30"/>
    <w:rsid w:val="00172B07"/>
    <w:rsid w:val="00297CB3"/>
    <w:rsid w:val="003C20C8"/>
    <w:rsid w:val="00514A49"/>
    <w:rsid w:val="00616774"/>
    <w:rsid w:val="00666B30"/>
    <w:rsid w:val="0073757E"/>
    <w:rsid w:val="00886D35"/>
    <w:rsid w:val="00B6268D"/>
    <w:rsid w:val="00BF1BDB"/>
    <w:rsid w:val="00D9447B"/>
    <w:rsid w:val="00DE0DBF"/>
    <w:rsid w:val="00E45F51"/>
    <w:rsid w:val="00E5270F"/>
    <w:rsid w:val="00EA6866"/>
    <w:rsid w:val="00F22213"/>
    <w:rsid w:val="00F7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B30"/>
    <w:pPr>
      <w:ind w:left="720"/>
      <w:contextualSpacing/>
    </w:pPr>
  </w:style>
  <w:style w:type="paragraph" w:customStyle="1" w:styleId="Default">
    <w:name w:val="Default"/>
    <w:rsid w:val="00666B3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2748</Characters>
  <Application>Microsoft Office Word</Application>
  <DocSecurity>0</DocSecurity>
  <Lines>22</Lines>
  <Paragraphs>6</Paragraphs>
  <ScaleCrop>false</ScaleCrop>
  <Company>Grizli777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Gavrilovic</dc:creator>
  <cp:lastModifiedBy>Milica Gavrilovic</cp:lastModifiedBy>
  <cp:revision>3</cp:revision>
  <dcterms:created xsi:type="dcterms:W3CDTF">2016-05-12T16:09:00Z</dcterms:created>
  <dcterms:modified xsi:type="dcterms:W3CDTF">2016-05-12T16:30:00Z</dcterms:modified>
</cp:coreProperties>
</file>